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1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1"/>
        <w:gridCol w:w="239"/>
        <w:gridCol w:w="389"/>
        <w:gridCol w:w="456"/>
        <w:gridCol w:w="2522"/>
      </w:tblGrid>
      <w:tr w:rsidR="00A234CA">
        <w:tc>
          <w:tcPr>
            <w:tcW w:w="1559" w:type="dxa"/>
            <w:gridSpan w:val="3"/>
            <w:tcBorders>
              <w:bottom w:val="single" w:sz="8" w:space="0" w:color="2F5496" w:themeColor="accent5" w:themeShade="BF"/>
            </w:tcBorders>
            <w:vAlign w:val="bottom"/>
          </w:tcPr>
          <w:p w:rsidR="00A234CA" w:rsidRDefault="00A234CA">
            <w:pPr>
              <w:rPr>
                <w:color w:val="000000" w:themeColor="text1"/>
                <w:szCs w:val="28"/>
              </w:rPr>
            </w:pPr>
          </w:p>
        </w:tc>
        <w:tc>
          <w:tcPr>
            <w:tcW w:w="456" w:type="dxa"/>
            <w:vAlign w:val="bottom"/>
          </w:tcPr>
          <w:p w:rsidR="00A234CA" w:rsidRDefault="00DF204A">
            <w:pPr>
              <w:rPr>
                <w:sz w:val="24"/>
                <w:szCs w:val="24"/>
              </w:rPr>
            </w:pPr>
            <w:r>
              <w:rPr>
                <w:rFonts w:ascii="Arial" w:hAnsi="Arial"/>
                <w:color w:val="2F5496" w:themeColor="accent5" w:themeShade="BF"/>
                <w:sz w:val="22"/>
              </w:rPr>
              <w:t>№</w:t>
            </w:r>
          </w:p>
        </w:tc>
        <w:tc>
          <w:tcPr>
            <w:tcW w:w="2522" w:type="dxa"/>
            <w:tcBorders>
              <w:bottom w:val="single" w:sz="8" w:space="0" w:color="2F5496" w:themeColor="accent5" w:themeShade="BF"/>
            </w:tcBorders>
            <w:vAlign w:val="bottom"/>
          </w:tcPr>
          <w:p w:rsidR="00A234CA" w:rsidRDefault="00A234CA">
            <w:pPr>
              <w:rPr>
                <w:color w:val="000000" w:themeColor="text1"/>
                <w:szCs w:val="28"/>
              </w:rPr>
            </w:pPr>
          </w:p>
        </w:tc>
      </w:tr>
      <w:tr w:rsidR="00A234CA">
        <w:tc>
          <w:tcPr>
            <w:tcW w:w="931" w:type="dxa"/>
            <w:vAlign w:val="bottom"/>
          </w:tcPr>
          <w:p w:rsidR="00A234CA" w:rsidRDefault="00DF204A">
            <w:pPr>
              <w:spacing w:before="200"/>
              <w:rPr>
                <w:sz w:val="24"/>
                <w:szCs w:val="24"/>
              </w:rPr>
            </w:pPr>
            <w:r>
              <w:rPr>
                <w:rFonts w:ascii="Arial" w:hAnsi="Arial"/>
                <w:color w:val="2F5496" w:themeColor="accent5" w:themeShade="BF"/>
                <w:sz w:val="22"/>
              </w:rPr>
              <w:t>На №</w:t>
            </w:r>
          </w:p>
        </w:tc>
        <w:tc>
          <w:tcPr>
            <w:tcW w:w="239" w:type="dxa"/>
            <w:vAlign w:val="bottom"/>
          </w:tcPr>
          <w:p w:rsidR="00A234CA" w:rsidRDefault="00A234CA">
            <w:pPr>
              <w:spacing w:before="200"/>
              <w:rPr>
                <w:sz w:val="16"/>
                <w:szCs w:val="16"/>
              </w:rPr>
            </w:pPr>
          </w:p>
        </w:tc>
        <w:tc>
          <w:tcPr>
            <w:tcW w:w="3367" w:type="dxa"/>
            <w:gridSpan w:val="3"/>
            <w:tcBorders>
              <w:bottom w:val="single" w:sz="8" w:space="0" w:color="2F5496" w:themeColor="accent5" w:themeShade="BF"/>
            </w:tcBorders>
            <w:vAlign w:val="bottom"/>
          </w:tcPr>
          <w:p w:rsidR="00A234CA" w:rsidRDefault="00A234CA">
            <w:pPr>
              <w:spacing w:before="160"/>
              <w:jc w:val="left"/>
              <w:rPr>
                <w:color w:val="000000" w:themeColor="text1"/>
                <w:szCs w:val="28"/>
              </w:rPr>
            </w:pPr>
          </w:p>
        </w:tc>
      </w:tr>
    </w:tbl>
    <w:p w:rsidR="00A234CA" w:rsidRDefault="00A234CA">
      <w:pPr>
        <w:ind w:firstLine="851"/>
        <w:rPr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103"/>
      </w:tblGrid>
      <w:tr w:rsidR="00A234CA">
        <w:tc>
          <w:tcPr>
            <w:tcW w:w="4111" w:type="dxa"/>
          </w:tcPr>
          <w:p w:rsidR="00A234CA" w:rsidRDefault="00A234CA">
            <w:pPr>
              <w:rPr>
                <w:szCs w:val="28"/>
              </w:rPr>
            </w:pPr>
          </w:p>
        </w:tc>
        <w:tc>
          <w:tcPr>
            <w:tcW w:w="5103" w:type="dxa"/>
          </w:tcPr>
          <w:p w:rsidR="00A234CA" w:rsidRDefault="00DF204A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</w:t>
            </w:r>
            <w:r>
              <w:rPr>
                <w:b/>
              </w:rPr>
              <w:t>Головам обласних, Київської міської державних адміністрацій</w:t>
            </w:r>
          </w:p>
          <w:p w:rsidR="00A234CA" w:rsidRDefault="00A234CA">
            <w:pPr>
              <w:jc w:val="center"/>
              <w:rPr>
                <w:szCs w:val="28"/>
              </w:rPr>
            </w:pPr>
          </w:p>
        </w:tc>
      </w:tr>
    </w:tbl>
    <w:p w:rsidR="00A234CA" w:rsidRDefault="00DF204A">
      <w:pPr>
        <w:ind w:firstLine="709"/>
      </w:pPr>
      <w:r>
        <w:t xml:space="preserve">У зв’язку з Днем пам’яті жертв політичних репресій (третя неділя травня, у </w:t>
      </w:r>
      <w:r w:rsidR="00F97BC0">
        <w:rPr>
          <w:lang w:val="en-US"/>
        </w:rPr>
        <w:t>2026</w:t>
      </w:r>
      <w:r>
        <w:t xml:space="preserve"> році припадає на 17</w:t>
      </w:r>
      <w:r w:rsidR="00F97BC0">
        <w:rPr>
          <w:lang w:val="en-US"/>
        </w:rPr>
        <w:t xml:space="preserve"> </w:t>
      </w:r>
      <w:r w:rsidR="00F97BC0">
        <w:t>травня</w:t>
      </w:r>
      <w:r>
        <w:t>) просимо забезпечити із дотриманням вимог та обмежень воєнного стану, урахуванням ситуації в конкретному населеному пункті проведення у регіона</w:t>
      </w:r>
      <w:r>
        <w:t xml:space="preserve">х заходів із вшанування пам’яті мільйонів українців, які стали жертвами тоталітарного режиму </w:t>
      </w:r>
      <w:proofErr w:type="spellStart"/>
      <w:r>
        <w:t>срср</w:t>
      </w:r>
      <w:proofErr w:type="spellEnd"/>
      <w:r>
        <w:t xml:space="preserve">, зокрема у часи сталінізму, віддання шани учасникам визвольного руху. </w:t>
      </w:r>
    </w:p>
    <w:p w:rsidR="00A234CA" w:rsidRDefault="00DF204A">
      <w:pPr>
        <w:ind w:firstLine="709"/>
      </w:pPr>
      <w:r>
        <w:t>Під час організації тематичних заходів важливо також передбачити ушанування пам’яті укр</w:t>
      </w:r>
      <w:r>
        <w:t>аїнських воїнів та цивільних осіб, загиблих унаслідок агресивної війни, яку російська федерація розв’язала і веде проти України.</w:t>
      </w:r>
    </w:p>
    <w:p w:rsidR="00A234CA" w:rsidRDefault="00DF204A">
      <w:pPr>
        <w:ind w:firstLine="709"/>
      </w:pPr>
      <w:r>
        <w:t>Ураховуючи сучасний контекст боротьби за незалежність</w:t>
      </w:r>
      <w:r w:rsidR="00F97BC0">
        <w:t>,</w:t>
      </w:r>
      <w:bookmarkStart w:id="0" w:name="_GoBack"/>
      <w:bookmarkEnd w:id="0"/>
      <w:r>
        <w:t xml:space="preserve"> для змістовного наповнення заходів та формування </w:t>
      </w:r>
      <w:proofErr w:type="spellStart"/>
      <w:r>
        <w:t>медіаконтенту</w:t>
      </w:r>
      <w:proofErr w:type="spellEnd"/>
      <w:r>
        <w:t xml:space="preserve"> у зв’язку </w:t>
      </w:r>
      <w:r>
        <w:t>з Днем пам’яті жертв політичних репресій необхідно, зокрема, акцентувати на паралелі подій ХХ століття з сучасністю.</w:t>
      </w:r>
    </w:p>
    <w:p w:rsidR="00A234CA" w:rsidRDefault="00DF204A">
      <w:pPr>
        <w:ind w:firstLine="709"/>
      </w:pPr>
      <w:r>
        <w:t>Слід підкреслювати спадкоємність злочинів радянського тоталітарного режиму та сучасної російської агресії, репресій, депортацій та викраден</w:t>
      </w:r>
      <w:r>
        <w:t xml:space="preserve">ь людей. </w:t>
      </w:r>
    </w:p>
    <w:p w:rsidR="00A234CA" w:rsidRDefault="00DF204A">
      <w:pPr>
        <w:ind w:firstLine="709"/>
      </w:pPr>
      <w:r>
        <w:t>Справедливість і покарання мають настати для усіх авторів і виконавців злочинів як тогочасних, так і нинішніх. Доведено, що непокаране зло завжди повертається, а дегероїзація радянських катів є складовою безпеки. Ми є нащадками тих, хто вижив, що</w:t>
      </w:r>
      <w:r>
        <w:t>б розповісти правду. Відкриті архіви – це наша зброя проти пропаганди та брехні. Злочинці минулого мають бути засуджені історією, сучасні – міжнародним трибуналом.</w:t>
      </w:r>
    </w:p>
    <w:p w:rsidR="00A234CA" w:rsidRDefault="00DF204A">
      <w:pPr>
        <w:ind w:firstLine="709"/>
      </w:pPr>
      <w:r>
        <w:t>Важливо засвідчувати неперервність нашого спротиву через збереження національної пам’яті Укр</w:t>
      </w:r>
      <w:r>
        <w:t xml:space="preserve">аїнського народу. Зокрема, через донесення до широкої аудиторії меседжів про те, що пам’ять про катівні НКВС дає силу боротися з їхніми спадкоємцями сьогодні, а вшановуючи співвітчизників, які не зламалися в </w:t>
      </w:r>
      <w:proofErr w:type="spellStart"/>
      <w:r>
        <w:t>ГУЛАГу</w:t>
      </w:r>
      <w:proofErr w:type="spellEnd"/>
      <w:r>
        <w:t xml:space="preserve">, ми отримуємо наснагу вистояти зараз. </w:t>
      </w:r>
    </w:p>
    <w:p w:rsidR="00A234CA" w:rsidRDefault="00DF204A">
      <w:pPr>
        <w:ind w:firstLine="709"/>
      </w:pPr>
      <w:r>
        <w:lastRenderedPageBreak/>
        <w:t>Ми</w:t>
      </w:r>
      <w:r>
        <w:t xml:space="preserve"> згадуємо тих, кого забирали «чорні воронки» посеред ночі, тих, хто загинув від виснаження в таборах, тих, чиї імена намагалися стерти з історії, засипаючи вапном у безіменних ровах </w:t>
      </w:r>
      <w:proofErr w:type="spellStart"/>
      <w:r>
        <w:t>Биківні</w:t>
      </w:r>
      <w:proofErr w:type="spellEnd"/>
      <w:r>
        <w:t>, Дем’янового Лазу та тисяч інших місць масових страт по всій Украї</w:t>
      </w:r>
      <w:r>
        <w:t>ні. Ми ніколи не дозволимо страху панувати в наших життях.</w:t>
      </w:r>
    </w:p>
    <w:p w:rsidR="00A234CA" w:rsidRDefault="00DF204A">
      <w:pPr>
        <w:ind w:firstLine="709"/>
      </w:pPr>
      <w:r>
        <w:t>Події Війни за Незалежність України, що триває, переконливо демонструють, що комуністичні репресії ХХ століття – це незавершена історія нашої сьогоднішньої боротьби проти послідовників «червоного т</w:t>
      </w:r>
      <w:r>
        <w:t xml:space="preserve">ерору». </w:t>
      </w:r>
    </w:p>
    <w:p w:rsidR="00A234CA" w:rsidRDefault="00DF204A">
      <w:pPr>
        <w:ind w:firstLine="709"/>
      </w:pPr>
      <w:r>
        <w:t xml:space="preserve">Наш незламний спротив – від «Розстріляного відродження» до сучасних героїв – цементує ще одну непохитну істину: Український дух неможливо розстріляти. Це – дух Свободи, яка є для нас найвищою цінністю. </w:t>
      </w:r>
    </w:p>
    <w:p w:rsidR="00A234CA" w:rsidRDefault="00DF204A">
      <w:pPr>
        <w:ind w:firstLine="709"/>
      </w:pPr>
      <w:r>
        <w:t>Ми обираємо волю, бо пам’ятаємо лихоліття то</w:t>
      </w:r>
      <w:r>
        <w:t xml:space="preserve">талітарного мовчання. Ми обираємо незалежну державу, бо знаємо, що політичні репресії, голодомори, депортації – це ціна, яку наш народ платив за свою бездержавність. </w:t>
      </w:r>
    </w:p>
    <w:p w:rsidR="00A234CA" w:rsidRDefault="00DF204A">
      <w:pPr>
        <w:ind w:firstLine="709"/>
      </w:pPr>
      <w:r>
        <w:t>Сьогодні ми маємо свою державу, свою армію та незламну волю. Ми вивчили головний урок іст</w:t>
      </w:r>
      <w:r>
        <w:t>орії – тоталітаризм боїться передусім сили спротиву і правди. Безальтернативний шлях, що веде геть від імперського терору – це шлях демократії і прав людини. І наша єдність на цьому шляху – найкраща відповідь на спроби ворога знищити українську ідентичніст</w:t>
      </w:r>
      <w:r>
        <w:t xml:space="preserve">ь. </w:t>
      </w:r>
    </w:p>
    <w:p w:rsidR="00A234CA" w:rsidRDefault="00DF204A">
      <w:pPr>
        <w:ind w:firstLine="709"/>
      </w:pPr>
      <w:r>
        <w:t>Консолідація зусиль України та міжнародного співтовариства є очевидною необхідністю для подолання тоталітарних ідеологій, передусім нейтралізації злочинних дій і самого режиму держави-терориста російської федерації та її сателітів, які несуть загрозу г</w:t>
      </w:r>
      <w:r>
        <w:t xml:space="preserve">лобального масштабу через дестабілізацію і провокацію збройних конфліктів у різних частинах світу. </w:t>
      </w:r>
    </w:p>
    <w:p w:rsidR="00A234CA" w:rsidRDefault="00DF204A">
      <w:pPr>
        <w:ind w:firstLine="709"/>
      </w:pPr>
      <w:r>
        <w:t>Досягнення справедливого й стійкого миру, відновлення системи колективної безпеки можливі лише об’єднаними силами і послідовною політикою нейтралізації теро</w:t>
      </w:r>
      <w:r>
        <w:t>ристичних режимів, зокрема ідеологічної та інформаційної.</w:t>
      </w:r>
    </w:p>
    <w:p w:rsidR="00A234CA" w:rsidRDefault="00DF204A">
      <w:pPr>
        <w:spacing w:before="120"/>
        <w:ind w:firstLine="709"/>
      </w:pPr>
      <w:r>
        <w:t xml:space="preserve">У зв’язку з Днем пам’яті жертв політичних репресій просимо сприяти внесенню відповідних змін до </w:t>
      </w:r>
      <w:proofErr w:type="spellStart"/>
      <w:r>
        <w:t>медіаконтенту</w:t>
      </w:r>
      <w:proofErr w:type="spellEnd"/>
      <w:r>
        <w:t xml:space="preserve"> 17 травня 2026 року, розміщенню тематичних матеріалів у регіональних та місцевих засобах</w:t>
      </w:r>
      <w:r>
        <w:t xml:space="preserve"> масової інформації.</w:t>
      </w:r>
    </w:p>
    <w:p w:rsidR="00A234CA" w:rsidRDefault="00DF204A">
      <w:pPr>
        <w:spacing w:before="120"/>
        <w:ind w:firstLine="709"/>
      </w:pPr>
      <w:r>
        <w:t xml:space="preserve">Також доцільною є реалізація для широкої аудиторії тематичних освітніх </w:t>
      </w:r>
      <w:proofErr w:type="spellStart"/>
      <w:r>
        <w:t>проєктів</w:t>
      </w:r>
      <w:proofErr w:type="spellEnd"/>
      <w:r>
        <w:t>, онлайн-дискусій, стрим-бесід, віртуальних екскурсій, презентацій архівних та інших матеріалів. Важливо, зокрема, оприлюднювати інформацію та широко висвіт</w:t>
      </w:r>
      <w:r>
        <w:t xml:space="preserve">лювати факти про протиправну діяльність нинішнього кремлівського режиму, вчинення ним злочинів проти людства аналогічно діям радянської влади на території України у 1917–1991 роках, застосування </w:t>
      </w:r>
      <w:proofErr w:type="spellStart"/>
      <w:r>
        <w:t>рашистами</w:t>
      </w:r>
      <w:proofErr w:type="spellEnd"/>
      <w:r>
        <w:t xml:space="preserve"> репресивних методів, що поєднують </w:t>
      </w:r>
      <w:proofErr w:type="spellStart"/>
      <w:r>
        <w:t>найганебніші</w:t>
      </w:r>
      <w:proofErr w:type="spellEnd"/>
      <w:r>
        <w:t xml:space="preserve"> прак</w:t>
      </w:r>
      <w:r>
        <w:t xml:space="preserve">тики сталінського режиму, поширювати інформацію про маловідомі </w:t>
      </w:r>
      <w:r>
        <w:lastRenderedPageBreak/>
        <w:t>факти репресій у відповідній місцевості, історії родин, репресованих діячів культури та науки.</w:t>
      </w:r>
    </w:p>
    <w:p w:rsidR="00A234CA" w:rsidRDefault="00DF204A">
      <w:pPr>
        <w:ind w:firstLine="709"/>
      </w:pPr>
      <w:r>
        <w:t>Цього дня пропонуємо провести лаконічні церемонії ушанування пам’яті: покладання квітів, квіткових</w:t>
      </w:r>
      <w:r>
        <w:t xml:space="preserve"> композицій, встановлення вінків, лампадок керівниками місцевих органів виконавчої влади та органів місцевого самоврядування до пам’ятників, пам’ятних знаків, місць поховань жертв політичних репресій, а також українських воїнів та цивільних осіб, загиблих </w:t>
      </w:r>
      <w:r>
        <w:t xml:space="preserve">унаслідок агресивної війни, яку </w:t>
      </w:r>
      <w:proofErr w:type="spellStart"/>
      <w:r>
        <w:t>росія</w:t>
      </w:r>
      <w:proofErr w:type="spellEnd"/>
      <w:r>
        <w:t xml:space="preserve"> розв’язала і веде проти України. </w:t>
      </w:r>
    </w:p>
    <w:p w:rsidR="00A234CA" w:rsidRDefault="00DF204A">
      <w:pPr>
        <w:ind w:firstLine="709"/>
      </w:pPr>
      <w:r>
        <w:t>Попередньо необхідно здійснити упорядкування таких меморіальних об’єктів та знакових місць.</w:t>
      </w:r>
    </w:p>
    <w:p w:rsidR="00A234CA" w:rsidRDefault="00DF204A">
      <w:pPr>
        <w:ind w:firstLine="709"/>
      </w:pPr>
      <w:r>
        <w:t>Слід також забезпечити 17 травня 2026 року:</w:t>
      </w:r>
    </w:p>
    <w:p w:rsidR="00A234CA" w:rsidRDefault="00DF204A">
      <w:pPr>
        <w:ind w:firstLine="709"/>
      </w:pPr>
      <w:r>
        <w:t>приспущення Державного Прапора України на будинк</w:t>
      </w:r>
      <w:r>
        <w:t>ах і спорудах органів державної влади, місцевого самоврядування, державних підприємств, установ і організацій;</w:t>
      </w:r>
    </w:p>
    <w:p w:rsidR="00A234CA" w:rsidRDefault="00DF204A">
      <w:pPr>
        <w:ind w:firstLine="709"/>
      </w:pPr>
      <w:r>
        <w:t>обмеження проведення цього дня розважальних заходів, концертів, спортивних змагань тощо або внесення суттєвих  змін до змісту та формату їх прове</w:t>
      </w:r>
      <w:r>
        <w:t>дення;</w:t>
      </w:r>
    </w:p>
    <w:p w:rsidR="00A234CA" w:rsidRDefault="00DF204A">
      <w:pPr>
        <w:ind w:firstLine="709"/>
      </w:pPr>
      <w:r>
        <w:t>вжиття заходів щодо надання всебічної підтримки колишнім політв’язням та репресованим, діяльності їхніх громадських організацій, а також щодо підтримки звільнених з російського полону осіб, які проживають в регіоні.</w:t>
      </w:r>
    </w:p>
    <w:p w:rsidR="00A234CA" w:rsidRDefault="00DF204A">
      <w:pPr>
        <w:ind w:firstLine="709"/>
      </w:pPr>
      <w:r>
        <w:t>Посилену увагу необхідно приділит</w:t>
      </w:r>
      <w:r>
        <w:t>и дотриманню громадського порядку і стабільності у регіоні, у тому числі з урахуванням воєнного стану, забезпеченню безпеки, нейтралізації деструктивних чинників, попередженню провокацій.</w:t>
      </w:r>
    </w:p>
    <w:p w:rsidR="00A234CA" w:rsidRDefault="00DF204A">
      <w:pPr>
        <w:ind w:firstLine="709"/>
      </w:pPr>
      <w:r>
        <w:t xml:space="preserve"> </w:t>
      </w:r>
    </w:p>
    <w:p w:rsidR="00A234CA" w:rsidRDefault="00DF204A">
      <w:pPr>
        <w:ind w:firstLine="709"/>
      </w:pPr>
      <w:r>
        <w:t>Про проведену роботу просимо поінформувати Офіс Президента України</w:t>
      </w:r>
      <w:r>
        <w:t xml:space="preserve"> до 22 травня 2026 року. </w:t>
      </w:r>
    </w:p>
    <w:p w:rsidR="00A234CA" w:rsidRDefault="00A234CA">
      <w:pPr>
        <w:ind w:firstLine="720"/>
        <w:rPr>
          <w:szCs w:val="28"/>
        </w:rPr>
      </w:pPr>
    </w:p>
    <w:p w:rsidR="00A234CA" w:rsidRDefault="00A234CA">
      <w:pPr>
        <w:ind w:firstLine="720"/>
        <w:rPr>
          <w:szCs w:val="28"/>
        </w:rPr>
      </w:pPr>
    </w:p>
    <w:p w:rsidR="00A234CA" w:rsidRDefault="00A234CA">
      <w:pPr>
        <w:ind w:firstLine="720"/>
        <w:rPr>
          <w:szCs w:val="28"/>
        </w:rPr>
      </w:pPr>
    </w:p>
    <w:p w:rsidR="00A234CA" w:rsidRDefault="00A234CA">
      <w:pPr>
        <w:ind w:firstLine="720"/>
        <w:rPr>
          <w:szCs w:val="28"/>
        </w:rPr>
      </w:pPr>
    </w:p>
    <w:p w:rsidR="00A234CA" w:rsidRDefault="00A234CA">
      <w:pPr>
        <w:ind w:firstLine="720"/>
        <w:rPr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5670"/>
      </w:tblGrid>
      <w:tr w:rsidR="00A234CA">
        <w:tc>
          <w:tcPr>
            <w:tcW w:w="3544" w:type="dxa"/>
          </w:tcPr>
          <w:p w:rsidR="00A234CA" w:rsidRDefault="00DF204A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Заступник Керівника Офісу Президента України</w:t>
            </w:r>
          </w:p>
        </w:tc>
        <w:tc>
          <w:tcPr>
            <w:tcW w:w="5670" w:type="dxa"/>
          </w:tcPr>
          <w:p w:rsidR="00A234CA" w:rsidRDefault="00A234CA">
            <w:pPr>
              <w:jc w:val="right"/>
              <w:rPr>
                <w:b/>
                <w:szCs w:val="28"/>
              </w:rPr>
            </w:pPr>
          </w:p>
          <w:p w:rsidR="00A234CA" w:rsidRDefault="00DF204A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Віктор МИКИТА</w:t>
            </w:r>
          </w:p>
        </w:tc>
      </w:tr>
    </w:tbl>
    <w:p w:rsidR="00A234CA" w:rsidRDefault="00A234CA">
      <w:pPr>
        <w:ind w:firstLine="851"/>
        <w:rPr>
          <w:szCs w:val="28"/>
        </w:rPr>
      </w:pPr>
    </w:p>
    <w:sectPr w:rsidR="00A234CA">
      <w:headerReference w:type="default" r:id="rId7"/>
      <w:headerReference w:type="first" r:id="rId8"/>
      <w:pgSz w:w="11906" w:h="16838"/>
      <w:pgMar w:top="1134" w:right="851" w:bottom="2041" w:left="1701" w:header="567" w:footer="17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04A" w:rsidRDefault="00DF204A"/>
  </w:endnote>
  <w:endnote w:type="continuationSeparator" w:id="0">
    <w:p w:rsidR="00DF204A" w:rsidRDefault="00DF20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04A" w:rsidRDefault="00DF204A"/>
  </w:footnote>
  <w:footnote w:type="continuationSeparator" w:id="0">
    <w:p w:rsidR="00DF204A" w:rsidRDefault="00DF20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4CA" w:rsidRDefault="00DF20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97BC0">
      <w:rPr>
        <w:noProof/>
      </w:rPr>
      <w:t>3</w:t>
    </w:r>
    <w:r>
      <w:fldChar w:fldCharType="end"/>
    </w:r>
  </w:p>
  <w:p w:rsidR="00A234CA" w:rsidRDefault="00A234CA">
    <w:pPr>
      <w:pStyle w:val="a3"/>
      <w:ind w:right="-850" w:hanging="15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4CA" w:rsidRDefault="00DF204A">
    <w:pPr>
      <w:pStyle w:val="a3"/>
      <w:rPr>
        <w:sz w:val="12"/>
        <w:szCs w:val="12"/>
      </w:rPr>
    </w:pPr>
    <w:r>
      <w:rPr>
        <w:noProof/>
        <w:lang w:eastAsia="uk-UA"/>
      </w:rPr>
      <w:drawing>
        <wp:anchor distT="0" distB="0" distL="114300" distR="114300" simplePos="0" relativeHeight="10" behindDoc="1" locked="0" layoutInCell="1" allowOverlap="1">
          <wp:simplePos x="0" y="0"/>
          <wp:positionH relativeFrom="column">
            <wp:posOffset>-1042035</wp:posOffset>
          </wp:positionH>
          <wp:positionV relativeFrom="paragraph">
            <wp:posOffset>-321945</wp:posOffset>
          </wp:positionV>
          <wp:extent cx="7490460" cy="2188210"/>
          <wp:effectExtent l="0" t="0" r="0" b="2540"/>
          <wp:wrapTight wrapText="bothSides">
            <wp:wrapPolygon edited="0">
              <wp:start x="0" y="0"/>
              <wp:lineTo x="0" y="21437"/>
              <wp:lineTo x="21534" y="21437"/>
              <wp:lineTo x="21534" y="0"/>
              <wp:lineTo x="0" y="0"/>
            </wp:wrapPolygon>
          </wp:wrapTight>
          <wp:docPr id="13" name="Рисунок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"/>
                  <pic:cNvPicPr/>
                </pic:nvPicPr>
                <pic:blipFill dpi="0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90460" cy="21882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4CA"/>
    <w:rsid w:val="00A234CA"/>
    <w:rsid w:val="00DF204A"/>
    <w:rsid w:val="00F9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4550F"/>
  <w15:docId w15:val="{F2C7ED8A-F301-4F87-9349-779D877B9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819"/>
        <w:tab w:val="right" w:pos="9639"/>
      </w:tabs>
    </w:pPr>
  </w:style>
  <w:style w:type="paragraph" w:styleId="a5">
    <w:name w:val="footer"/>
    <w:basedOn w:val="a"/>
    <w:link w:val="a6"/>
    <w:pPr>
      <w:tabs>
        <w:tab w:val="center" w:pos="4819"/>
        <w:tab w:val="right" w:pos="9639"/>
      </w:tabs>
    </w:pPr>
  </w:style>
  <w:style w:type="paragraph" w:styleId="a7">
    <w:name w:val="Balloon Text"/>
    <w:basedOn w:val="a"/>
    <w:link w:val="a8"/>
    <w:semiHidden/>
    <w:rPr>
      <w:rFonts w:ascii="Segoe UI" w:hAnsi="Segoe UI"/>
      <w:sz w:val="18"/>
      <w:szCs w:val="18"/>
    </w:rPr>
  </w:style>
  <w:style w:type="paragraph" w:styleId="a9">
    <w:name w:val="footnote text"/>
    <w:link w:val="aa"/>
    <w:semiHidden/>
    <w:rPr>
      <w:sz w:val="20"/>
      <w:szCs w:val="20"/>
    </w:rPr>
  </w:style>
  <w:style w:type="paragraph" w:styleId="ab">
    <w:name w:val="endnote text"/>
    <w:link w:val="ac"/>
    <w:semiHidden/>
    <w:rPr>
      <w:sz w:val="20"/>
      <w:szCs w:val="20"/>
    </w:rPr>
  </w:style>
  <w:style w:type="character" w:styleId="ad">
    <w:name w:val="line number"/>
    <w:basedOn w:val="a0"/>
    <w:semiHidden/>
  </w:style>
  <w:style w:type="character" w:styleId="ae">
    <w:name w:val="Hyperlink"/>
    <w:rPr>
      <w:color w:val="0000FF"/>
      <w:u w:val="single"/>
    </w:rPr>
  </w:style>
  <w:style w:type="character" w:customStyle="1" w:styleId="a4">
    <w:name w:val="Верхній колонтитул Знак"/>
    <w:basedOn w:val="a0"/>
    <w:link w:val="a3"/>
  </w:style>
  <w:style w:type="character" w:customStyle="1" w:styleId="a6">
    <w:name w:val="Нижній колонтитул Знак"/>
    <w:basedOn w:val="a0"/>
    <w:link w:val="a5"/>
  </w:style>
  <w:style w:type="character" w:customStyle="1" w:styleId="a8">
    <w:name w:val="Текст у виносці Знак"/>
    <w:basedOn w:val="a0"/>
    <w:link w:val="a7"/>
    <w:semiHidden/>
    <w:rPr>
      <w:rFonts w:ascii="Segoe UI" w:hAnsi="Segoe UI"/>
      <w:sz w:val="18"/>
      <w:szCs w:val="18"/>
    </w:rPr>
  </w:style>
  <w:style w:type="character" w:styleId="af">
    <w:name w:val="footnote reference"/>
    <w:semiHidden/>
    <w:rPr>
      <w:vertAlign w:val="superscript"/>
    </w:rPr>
  </w:style>
  <w:style w:type="character" w:customStyle="1" w:styleId="aa">
    <w:name w:val="Текст виноски Знак"/>
    <w:link w:val="a9"/>
    <w:semiHidden/>
    <w:rPr>
      <w:sz w:val="20"/>
      <w:szCs w:val="20"/>
    </w:rPr>
  </w:style>
  <w:style w:type="character" w:styleId="af0">
    <w:name w:val="endnote reference"/>
    <w:semiHidden/>
    <w:rPr>
      <w:vertAlign w:val="superscript"/>
    </w:rPr>
  </w:style>
  <w:style w:type="character" w:customStyle="1" w:styleId="ac">
    <w:name w:val="Текст кінцевої виноски Знак"/>
    <w:link w:val="ab"/>
    <w:semiHidden/>
    <w:rPr>
      <w:sz w:val="20"/>
      <w:szCs w:val="20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F9D88-7613-4B2B-A7D4-BEC157A74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3860</Words>
  <Characters>2201</Characters>
  <Application>Microsoft Office Word</Application>
  <DocSecurity>0</DocSecurity>
  <Lines>18</Lines>
  <Paragraphs>12</Paragraphs>
  <ScaleCrop>false</ScaleCrop>
  <Company/>
  <LinksUpToDate>false</LinksUpToDate>
  <CharactersWithSpaces>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Поліщук Тетяна Вікторівна</dc:creator>
  <cp:lastModifiedBy>Цируль Яна Станіславівна</cp:lastModifiedBy>
  <cp:revision>26</cp:revision>
  <cp:lastPrinted>2020-12-01T10:52:00Z</cp:lastPrinted>
  <dcterms:created xsi:type="dcterms:W3CDTF">2025-02-27T14:47:00Z</dcterms:created>
  <dcterms:modified xsi:type="dcterms:W3CDTF">2026-05-07T11:25:00Z</dcterms:modified>
</cp:coreProperties>
</file>